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518" w:rsidRDefault="00C52F8A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</w:t>
      </w:r>
      <w:bookmarkStart w:id="0" w:name="_GoBack"/>
      <w:bookmarkEnd w:id="0"/>
      <w:r>
        <w:rPr>
          <w:b/>
          <w:sz w:val="32"/>
          <w:szCs w:val="32"/>
        </w:rPr>
        <w:t>amin</w:t>
      </w:r>
    </w:p>
    <w:p w:rsidR="00FA3518" w:rsidRDefault="00C52F8A">
      <w:pPr>
        <w:pStyle w:val="Standard"/>
        <w:jc w:val="center"/>
      </w:pPr>
      <w:r>
        <w:rPr>
          <w:rFonts w:cs="Calibri"/>
          <w:b/>
          <w:i/>
          <w:sz w:val="32"/>
          <w:szCs w:val="32"/>
        </w:rPr>
        <w:t>Konkursu</w:t>
      </w:r>
    </w:p>
    <w:p w:rsidR="00FA3518" w:rsidRDefault="00C52F8A">
      <w:pPr>
        <w:pStyle w:val="Standard"/>
        <w:jc w:val="center"/>
      </w:pPr>
      <w:r>
        <w:rPr>
          <w:rFonts w:eastAsia="Times New Roman" w:cs="Calibri"/>
          <w:b/>
          <w:color w:val="222222"/>
          <w:sz w:val="32"/>
          <w:szCs w:val="32"/>
          <w:lang w:eastAsia="pl-PL"/>
        </w:rPr>
        <w:t>„WIEDZY O EUROPIE. EUROPA PRZYSZŁOŚCI”.</w:t>
      </w:r>
    </w:p>
    <w:p w:rsidR="00FA3518" w:rsidRDefault="00FA3518">
      <w:pPr>
        <w:pStyle w:val="Standard"/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:rsidR="00FA3518" w:rsidRDefault="00C52F8A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EDYCJA II</w:t>
      </w:r>
    </w:p>
    <w:p w:rsidR="00FA3518" w:rsidRDefault="00C52F8A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2024</w:t>
      </w:r>
    </w:p>
    <w:p w:rsidR="00FA3518" w:rsidRDefault="00C52F8A">
      <w:pPr>
        <w:pStyle w:val="Standard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Parlament Europejski i parlamentaryzm w Europie</w:t>
      </w:r>
    </w:p>
    <w:p w:rsidR="00FA3518" w:rsidRDefault="00FA3518">
      <w:pPr>
        <w:pStyle w:val="Standard"/>
        <w:spacing w:after="0" w:line="240" w:lineRule="auto"/>
        <w:rPr>
          <w:b/>
          <w:sz w:val="24"/>
          <w:szCs w:val="24"/>
        </w:rPr>
      </w:pPr>
    </w:p>
    <w:p w:rsidR="00FA3518" w:rsidRDefault="00FA3518">
      <w:pPr>
        <w:pStyle w:val="Standard"/>
        <w:spacing w:after="0" w:line="240" w:lineRule="auto"/>
        <w:rPr>
          <w:b/>
          <w:color w:val="777777"/>
          <w:sz w:val="21"/>
          <w:szCs w:val="21"/>
        </w:rPr>
      </w:pPr>
    </w:p>
    <w:p w:rsidR="00FA3518" w:rsidRDefault="00FA3518">
      <w:pPr>
        <w:pStyle w:val="Standard"/>
        <w:spacing w:after="0" w:line="240" w:lineRule="auto"/>
        <w:rPr>
          <w:b/>
          <w:color w:val="777777"/>
          <w:sz w:val="21"/>
          <w:szCs w:val="21"/>
        </w:rPr>
      </w:pPr>
    </w:p>
    <w:p w:rsidR="00FA3518" w:rsidRDefault="00C52F8A">
      <w:pPr>
        <w:pStyle w:val="Akapitzlist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Organizator konkursu</w:t>
      </w:r>
    </w:p>
    <w:p w:rsidR="00FA3518" w:rsidRDefault="00FA3518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</w:p>
    <w:p w:rsidR="00FA3518" w:rsidRDefault="00C52F8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Politechnika Koszalińska</w:t>
      </w:r>
    </w:p>
    <w:p w:rsidR="00FA3518" w:rsidRDefault="00C52F8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Wydział Humanistyczny</w:t>
      </w:r>
    </w:p>
    <w:p w:rsidR="00FA3518" w:rsidRDefault="00C52F8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Kwiatkowskiego 6e, 75-343 Koszalin</w:t>
      </w:r>
    </w:p>
    <w:p w:rsidR="00FA3518" w:rsidRDefault="00FA3518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Kontakt:</w:t>
      </w:r>
    </w:p>
    <w:p w:rsidR="00FA3518" w:rsidRDefault="00C52F8A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>dr Dominika Liszkowska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Telefon:</w:t>
      </w:r>
      <w:r>
        <w:rPr>
          <w:rFonts w:cs="Calibri"/>
          <w:sz w:val="24"/>
          <w:szCs w:val="24"/>
          <w:shd w:val="clear" w:color="auto" w:fill="FFFFFF"/>
        </w:rPr>
        <w:t xml:space="preserve"> 531 - 417 - 142</w:t>
      </w:r>
    </w:p>
    <w:p w:rsidR="00FA3518" w:rsidRDefault="00C52F8A">
      <w:pPr>
        <w:pStyle w:val="Standard"/>
        <w:spacing w:after="0" w:line="240" w:lineRule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e-mail kontaktowy: dominika.liszkowska@tu.koszalin.pl</w:t>
      </w:r>
    </w:p>
    <w:p w:rsidR="00FA3518" w:rsidRDefault="00FA3518">
      <w:pPr>
        <w:pStyle w:val="Standard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Cele Konkursu</w:t>
      </w:r>
    </w:p>
    <w:p w:rsidR="00FA3518" w:rsidRDefault="00FA3518">
      <w:pPr>
        <w:pStyle w:val="Akapitzlist"/>
        <w:ind w:left="1080"/>
        <w:rPr>
          <w:rFonts w:cs="Calibri"/>
          <w:b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Popularyzacja wiedzy na temat Unii Europejskiej, ze szczególnym uwzględnieniem kwestii demokracji parlamentarnej i potrzeby zaangażowania obywateli w działalność</w:t>
      </w:r>
      <w:r>
        <w:rPr>
          <w:rFonts w:cs="Calibri"/>
          <w:sz w:val="24"/>
          <w:szCs w:val="24"/>
        </w:rPr>
        <w:t xml:space="preserve"> na rzecz wspólnej Europy przyszłości, wśród uczniów szkół ponadpodstawowych z województwa zachodniopomorskiego;</w:t>
      </w:r>
    </w:p>
    <w:p w:rsidR="00FA3518" w:rsidRDefault="00C52F8A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Rozwijanie zainteresowania kulturą i historią państw oraz regionów w Europie;</w:t>
      </w:r>
    </w:p>
    <w:p w:rsidR="00FA3518" w:rsidRDefault="00C52F8A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Promocja Wydziału Humanistycznego Politechniki Koszalińskiej;</w:t>
      </w:r>
    </w:p>
    <w:p w:rsidR="00FA3518" w:rsidRDefault="00C52F8A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</w:t>
      </w:r>
      <w:r>
        <w:rPr>
          <w:rFonts w:cs="Calibri"/>
          <w:sz w:val="24"/>
          <w:szCs w:val="24"/>
        </w:rPr>
        <w:t xml:space="preserve">zerzanie wiedzy podstawowej i rozszerzonej uczniów szkół </w:t>
      </w:r>
      <w:proofErr w:type="spellStart"/>
      <w:r>
        <w:rPr>
          <w:rFonts w:cs="Calibri"/>
          <w:sz w:val="24"/>
          <w:szCs w:val="24"/>
        </w:rPr>
        <w:t>ponadpodstawnych</w:t>
      </w:r>
      <w:proofErr w:type="spellEnd"/>
      <w:r>
        <w:rPr>
          <w:rFonts w:cs="Calibri"/>
          <w:sz w:val="24"/>
          <w:szCs w:val="24"/>
        </w:rPr>
        <w:t xml:space="preserve"> na temat Unii Europejskiej, instytucji UE i parlamentaryzmu w Europie.</w:t>
      </w:r>
    </w:p>
    <w:p w:rsidR="00FA3518" w:rsidRDefault="00FA3518">
      <w:pPr>
        <w:pStyle w:val="Standard"/>
        <w:rPr>
          <w:rFonts w:cs="Calibri"/>
          <w:sz w:val="24"/>
          <w:szCs w:val="24"/>
        </w:rPr>
      </w:pPr>
    </w:p>
    <w:p w:rsidR="00FA3518" w:rsidRDefault="00FA3518">
      <w:pPr>
        <w:pStyle w:val="Standard"/>
        <w:rPr>
          <w:rFonts w:cs="Calibri"/>
          <w:sz w:val="24"/>
          <w:szCs w:val="24"/>
        </w:rPr>
      </w:pPr>
    </w:p>
    <w:p w:rsidR="00FA3518" w:rsidRDefault="00FA3518">
      <w:pPr>
        <w:pStyle w:val="Standard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Uczestnictwo w konkursie</w:t>
      </w:r>
    </w:p>
    <w:p w:rsidR="00FA3518" w:rsidRDefault="00FA3518">
      <w:pPr>
        <w:pStyle w:val="Akapitzlist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uczniowie szkół ponadpodstawowych z województwa zachodniopomorskiego;</w:t>
      </w:r>
    </w:p>
    <w:p w:rsidR="00FA3518" w:rsidRDefault="00C52F8A">
      <w:pPr>
        <w:pStyle w:val="Akapitzlist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każdej szk</w:t>
      </w:r>
      <w:r>
        <w:rPr>
          <w:rFonts w:cs="Calibri"/>
          <w:sz w:val="24"/>
          <w:szCs w:val="24"/>
        </w:rPr>
        <w:t>oły może zostać oddelegowanych maksymalnie pięciu uczestników.</w:t>
      </w:r>
    </w:p>
    <w:p w:rsidR="00FA3518" w:rsidRDefault="00FA3518">
      <w:pPr>
        <w:pStyle w:val="Standard"/>
        <w:rPr>
          <w:rFonts w:cs="Calibri"/>
          <w:b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Rekrutacja uczestników:</w:t>
      </w:r>
    </w:p>
    <w:p w:rsidR="00FA3518" w:rsidRDefault="00C52F8A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 xml:space="preserve">Szkoły zainteresowane udziałem w konkursie są zobowiązane do przesłania skanu wypełnionego formularza uczestnictwa pocztą elektroniczną na adres e-mail: </w:t>
      </w:r>
      <w:hyperlink r:id="rId7" w:history="1">
        <w:r>
          <w:rPr>
            <w:rFonts w:cs="Calibri"/>
            <w:sz w:val="24"/>
            <w:szCs w:val="24"/>
          </w:rPr>
          <w:t>dominika.liszkowska@tu.koszalin.pl</w:t>
        </w:r>
      </w:hyperlink>
      <w:r>
        <w:rPr>
          <w:rFonts w:cs="Calibri"/>
          <w:sz w:val="24"/>
          <w:szCs w:val="24"/>
        </w:rPr>
        <w:t xml:space="preserve"> w temacie wpisując</w:t>
      </w:r>
      <w:r>
        <w:rPr>
          <w:rFonts w:cs="Calibri"/>
          <w:i/>
          <w:sz w:val="24"/>
          <w:szCs w:val="24"/>
        </w:rPr>
        <w:t xml:space="preserve"> „</w:t>
      </w:r>
      <w:r>
        <w:rPr>
          <w:rFonts w:eastAsia="Times New Roman" w:cs="Calibri"/>
          <w:i/>
          <w:color w:val="222222"/>
          <w:sz w:val="24"/>
          <w:szCs w:val="24"/>
          <w:lang w:eastAsia="pl-PL"/>
        </w:rPr>
        <w:t>KONKURS WIEDZY O EUROPIE.</w:t>
      </w:r>
    </w:p>
    <w:p w:rsidR="00FA3518" w:rsidRDefault="00C52F8A">
      <w:pPr>
        <w:pStyle w:val="Standard"/>
        <w:shd w:val="clear" w:color="auto" w:fill="FFFFFF"/>
        <w:spacing w:after="0" w:line="240" w:lineRule="auto"/>
      </w:pPr>
      <w:r>
        <w:rPr>
          <w:rFonts w:eastAsia="Times New Roman" w:cs="Calibri"/>
          <w:i/>
          <w:color w:val="222222"/>
          <w:sz w:val="24"/>
          <w:szCs w:val="24"/>
          <w:lang w:eastAsia="pl-PL"/>
        </w:rPr>
        <w:t>EUROPA PRZYSZŁOŚCI</w:t>
      </w:r>
      <w:r>
        <w:rPr>
          <w:rFonts w:cs="Calibri"/>
          <w:i/>
          <w:sz w:val="24"/>
          <w:szCs w:val="24"/>
        </w:rPr>
        <w:t xml:space="preserve">”, </w:t>
      </w:r>
      <w:r>
        <w:rPr>
          <w:rFonts w:cs="Calibri"/>
          <w:sz w:val="24"/>
          <w:szCs w:val="24"/>
        </w:rPr>
        <w:t xml:space="preserve">w terminie do </w:t>
      </w:r>
      <w:r>
        <w:rPr>
          <w:rFonts w:cs="Calibri"/>
          <w:sz w:val="24"/>
          <w:szCs w:val="24"/>
          <w:u w:val="single"/>
        </w:rPr>
        <w:t>15 maja 2024 roku</w:t>
      </w:r>
    </w:p>
    <w:p w:rsidR="00FA3518" w:rsidRDefault="00C52F8A">
      <w:pPr>
        <w:pStyle w:val="Akapitzlist"/>
        <w:numPr>
          <w:ilvl w:val="0"/>
          <w:numId w:val="23"/>
        </w:numPr>
        <w:spacing w:after="0" w:line="240" w:lineRule="auto"/>
        <w:ind w:left="108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Formularz zgłoszenia stanowi załącznik nr 1 do powyższego Regulaminu;</w:t>
      </w:r>
    </w:p>
    <w:p w:rsidR="00FA3518" w:rsidRDefault="00C52F8A">
      <w:pPr>
        <w:pStyle w:val="Akapitzlist"/>
        <w:numPr>
          <w:ilvl w:val="0"/>
          <w:numId w:val="8"/>
        </w:numPr>
        <w:spacing w:after="0" w:line="240" w:lineRule="auto"/>
        <w:ind w:left="108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Organizator poinformuje szkoły o przyjęciu zgłoszenia w terminie do pięciu dni roboczych od otrzymania zgłoszenia.</w:t>
      </w:r>
    </w:p>
    <w:p w:rsidR="00FA3518" w:rsidRDefault="00FA3518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Przebieg Konkursu</w:t>
      </w:r>
    </w:p>
    <w:p w:rsidR="00FA3518" w:rsidRDefault="00FA3518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4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Konkurs zostanie przeprowadzony 23 maja 2024 roku w godzinach 09.00-14.00 w siedzibie organizatora przy ul. Kwiatkowskieg</w:t>
      </w:r>
      <w:r>
        <w:rPr>
          <w:rFonts w:cs="Calibri"/>
          <w:sz w:val="24"/>
          <w:szCs w:val="24"/>
        </w:rPr>
        <w:t>o 6e, 75-343 Koszalin.</w:t>
      </w:r>
    </w:p>
    <w:p w:rsidR="00FA3518" w:rsidRDefault="00C52F8A">
      <w:pPr>
        <w:pStyle w:val="Akapitzlist"/>
        <w:numPr>
          <w:ilvl w:val="0"/>
          <w:numId w:val="1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Konkurs składa się z dwóch etapów:</w:t>
      </w:r>
    </w:p>
    <w:p w:rsidR="00FA3518" w:rsidRDefault="00FA3518">
      <w:pPr>
        <w:pStyle w:val="Akapitzlist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Etap: 1. Test dla wszystkich zgłoszonych uczniów</w:t>
      </w:r>
    </w:p>
    <w:p w:rsidR="00FA3518" w:rsidRDefault="00FA3518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1"/>
          <w:numId w:val="1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Uczestnicy będą rozwiązywać test zamknięty, którego zakres obejmuje wiedzę na temat Parlamentu Europejskiego oraz parlamentaryzmu w Polsce - 30 py</w:t>
      </w:r>
      <w:r>
        <w:rPr>
          <w:rFonts w:cs="Calibri"/>
          <w:sz w:val="24"/>
          <w:szCs w:val="24"/>
        </w:rPr>
        <w:t>tań jednokrotnego wyboru.</w:t>
      </w:r>
    </w:p>
    <w:p w:rsidR="00FA3518" w:rsidRDefault="00C52F8A">
      <w:pPr>
        <w:pStyle w:val="Akapitzlist"/>
        <w:numPr>
          <w:ilvl w:val="1"/>
          <w:numId w:val="1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Czas trwania testu 45 min.</w:t>
      </w:r>
    </w:p>
    <w:p w:rsidR="00FA3518" w:rsidRDefault="00C52F8A">
      <w:pPr>
        <w:pStyle w:val="Akapitzlist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Etap: 2. Finał - 12 uczniów, którzy uzyskali najwyższy wynik w Etapie 1. konkursu</w:t>
      </w:r>
    </w:p>
    <w:p w:rsidR="00FA3518" w:rsidRDefault="00FA3518">
      <w:pPr>
        <w:pStyle w:val="Akapitzlist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1"/>
          <w:numId w:val="1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Uczestnicy będą  rozwiązywać test zamknięty, którego zakres obejmuje wiedzę na temat parlamentaryzmu w Europie - 20 pyt</w:t>
      </w:r>
      <w:r>
        <w:rPr>
          <w:rFonts w:cs="Calibri"/>
          <w:sz w:val="24"/>
          <w:szCs w:val="24"/>
        </w:rPr>
        <w:t>ań jednokrotnego wyboru.</w:t>
      </w:r>
    </w:p>
    <w:p w:rsidR="00FA3518" w:rsidRDefault="00C52F8A">
      <w:pPr>
        <w:pStyle w:val="Akapitzlist"/>
        <w:numPr>
          <w:ilvl w:val="1"/>
          <w:numId w:val="1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Czas trwania testu 35 minut.</w:t>
      </w:r>
    </w:p>
    <w:p w:rsidR="00FA3518" w:rsidRDefault="00FA3518">
      <w:pPr>
        <w:pStyle w:val="Akapitzlist"/>
        <w:ind w:left="0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1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uzyskania takiej samej liczby punktów przez  więcej niż 12 uczestników  Etapu 1., przeprowadzona zostanie dogrywka.</w:t>
      </w:r>
    </w:p>
    <w:p w:rsidR="00FA3518" w:rsidRDefault="00C52F8A">
      <w:pPr>
        <w:pStyle w:val="Akapitzlist"/>
        <w:numPr>
          <w:ilvl w:val="0"/>
          <w:numId w:val="1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Dogrywka polegać będzie na odpowiedzi ustnej na pytania zadawane przez </w:t>
      </w:r>
      <w:r>
        <w:rPr>
          <w:rFonts w:cs="Calibri"/>
          <w:sz w:val="24"/>
          <w:szCs w:val="24"/>
        </w:rPr>
        <w:t>komisję konkursową w obecności wszystkich uczestników konkursu. Pytania będą zadawane przez komisję do pierwszej złej  odpowiedzi udzielonej przez uczestnika. Do finału zakwalifikowany zostanie ten uczeń, który odpowie na wszystkie pytania poprawnie lub do</w:t>
      </w:r>
      <w:r>
        <w:rPr>
          <w:rFonts w:cs="Calibri"/>
          <w:sz w:val="24"/>
          <w:szCs w:val="24"/>
        </w:rPr>
        <w:t xml:space="preserve"> czasu, gdy kolejny uczestnik udzieli błędnej odpowiedzi.</w:t>
      </w:r>
    </w:p>
    <w:p w:rsidR="00FA3518" w:rsidRDefault="00FA3518">
      <w:pPr>
        <w:pStyle w:val="Akapitzlist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1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Ostateczny wynik konkursu stanowić będzie sumę punktów z Etapu 1. i Etapu 2.</w:t>
      </w:r>
    </w:p>
    <w:p w:rsidR="00FA3518" w:rsidRDefault="00FA3518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Komisja Konkursowa</w:t>
      </w:r>
    </w:p>
    <w:p w:rsidR="00FA3518" w:rsidRDefault="00FA3518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Organizator powołuje trzyosobową komisję konkursową;</w:t>
      </w:r>
    </w:p>
    <w:p w:rsidR="00FA3518" w:rsidRDefault="00C52F8A">
      <w:pPr>
        <w:pStyle w:val="Akapitzlist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Komisja czuwa nad prawidłowym przebiegiem kon</w:t>
      </w:r>
      <w:r>
        <w:rPr>
          <w:rFonts w:cs="Calibri"/>
          <w:sz w:val="24"/>
          <w:szCs w:val="24"/>
        </w:rPr>
        <w:t>kursu oraz decyduje o wyłonieniu finalistów i laureatów;</w:t>
      </w:r>
    </w:p>
    <w:p w:rsidR="00FA3518" w:rsidRDefault="00C52F8A">
      <w:pPr>
        <w:pStyle w:val="Akapitzlist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Komisja jest zobowiązana do zachowania bezstronności;</w:t>
      </w:r>
    </w:p>
    <w:p w:rsidR="00FA3518" w:rsidRDefault="00C52F8A">
      <w:pPr>
        <w:pStyle w:val="Akapitzlist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Decyzja komisji jest ostateczna i nie przysługuje od niej odwołanie.</w:t>
      </w:r>
    </w:p>
    <w:p w:rsidR="00FA3518" w:rsidRDefault="00FA3518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FA3518" w:rsidRDefault="00FA3518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Nagroda</w:t>
      </w:r>
    </w:p>
    <w:p w:rsidR="00FA3518" w:rsidRDefault="00FA3518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Komisja wyłania laureatów pierwszego, drugiego i trzeciego stop</w:t>
      </w:r>
      <w:r>
        <w:rPr>
          <w:rFonts w:cs="Calibri"/>
          <w:sz w:val="24"/>
          <w:szCs w:val="24"/>
        </w:rPr>
        <w:t>nia, oraz przyznaje wyróżnienia.</w:t>
      </w:r>
    </w:p>
    <w:p w:rsidR="00FA3518" w:rsidRDefault="00C52F8A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Dla laureatów i wyróżnionych przewidziane są nagrody rzeczowe oraz dyplomy.</w:t>
      </w:r>
    </w:p>
    <w:p w:rsidR="00FA3518" w:rsidRDefault="00FA3518">
      <w:pPr>
        <w:pStyle w:val="Standard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Postanowienia końcowe</w:t>
      </w:r>
    </w:p>
    <w:p w:rsidR="00FA3518" w:rsidRDefault="00FA3518">
      <w:pPr>
        <w:pStyle w:val="Akapitzlist"/>
        <w:rPr>
          <w:rFonts w:cs="Calibri"/>
          <w:b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Oryginał Regulaminu  jest dostępny w siedzibie Organizatora</w:t>
      </w:r>
    </w:p>
    <w:p w:rsidR="00FA3518" w:rsidRDefault="00C52F8A">
      <w:pPr>
        <w:pStyle w:val="Akapitzlist"/>
        <w:numPr>
          <w:ilvl w:val="0"/>
          <w:numId w:val="15"/>
        </w:numPr>
      </w:pPr>
      <w:r>
        <w:rPr>
          <w:rFonts w:cs="Calibri"/>
          <w:sz w:val="24"/>
          <w:szCs w:val="24"/>
        </w:rPr>
        <w:t xml:space="preserve">Szczegółowe informacje o konkursie można uzyskać pod nr </w:t>
      </w:r>
      <w:r>
        <w:rPr>
          <w:rFonts w:cs="Calibri"/>
          <w:sz w:val="24"/>
          <w:szCs w:val="24"/>
        </w:rPr>
        <w:t>telefonu</w:t>
      </w:r>
      <w:r>
        <w:rPr>
          <w:rFonts w:cs="Calibri"/>
          <w:sz w:val="24"/>
          <w:szCs w:val="24"/>
          <w:shd w:val="clear" w:color="auto" w:fill="FFFFFF"/>
        </w:rPr>
        <w:t xml:space="preserve"> 531-417-142</w:t>
      </w:r>
    </w:p>
    <w:p w:rsidR="00FA3518" w:rsidRDefault="00FA3518">
      <w:pPr>
        <w:pStyle w:val="Standard"/>
        <w:rPr>
          <w:rFonts w:cs="Calibri"/>
          <w:sz w:val="24"/>
          <w:szCs w:val="24"/>
        </w:rPr>
      </w:pPr>
    </w:p>
    <w:p w:rsidR="00FA3518" w:rsidRDefault="00C52F8A">
      <w:pPr>
        <w:pStyle w:val="Akapitzlist"/>
        <w:numPr>
          <w:ilvl w:val="0"/>
          <w:numId w:val="2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Informacje o przetwarzaniu danych osobowych</w:t>
      </w:r>
    </w:p>
    <w:p w:rsidR="00FA3518" w:rsidRDefault="00C52F8A">
      <w:pPr>
        <w:pStyle w:val="Akapitzlist"/>
        <w:numPr>
          <w:ilvl w:val="0"/>
          <w:numId w:val="2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Warunkiem uczestnictwa jest wyrażenie zgody na przetwarzanie danych osobowych przez uczestnika, w przypadku, gdy uczestnik nie ukończył 18 roku życia to przez rodziców lub jego prawnych opi</w:t>
      </w:r>
      <w:r>
        <w:rPr>
          <w:rFonts w:cs="Calibri"/>
          <w:sz w:val="24"/>
          <w:szCs w:val="24"/>
        </w:rPr>
        <w:t>ekunów.</w:t>
      </w:r>
    </w:p>
    <w:p w:rsidR="00FA3518" w:rsidRDefault="00FA3518">
      <w:pPr>
        <w:pStyle w:val="Standard"/>
        <w:jc w:val="both"/>
        <w:rPr>
          <w:b/>
          <w:bCs/>
        </w:rPr>
      </w:pPr>
    </w:p>
    <w:p w:rsidR="00FA3518" w:rsidRDefault="00C52F8A">
      <w:pPr>
        <w:pStyle w:val="Standard"/>
        <w:jc w:val="both"/>
      </w:pPr>
      <w:r>
        <w:rPr>
          <w:b/>
          <w:bCs/>
        </w:rPr>
        <w:t>Klauzula zgody na przetwarzanie danych osobowych</w:t>
      </w:r>
    </w:p>
    <w:p w:rsidR="00FA3518" w:rsidRDefault="00C52F8A">
      <w:pPr>
        <w:pStyle w:val="Standard"/>
        <w:jc w:val="both"/>
      </w:pPr>
      <w:r>
        <w:t>Wyrażam zgodę na przetwarzanie przez Politechnikę Koszalińską z siedzibą w Koszalinie, ul. Śniadeckich 2, 75-453 Koszalin, moich danych osobowych zawartych w formularzu w celu i zakresie niezbędny</w:t>
      </w:r>
      <w:r>
        <w:t>m do przeprowadzenia konkursu oraz ogłoszenia laureatów zgodnie z rozporządzeniem Rady UE 2016/679 z 27 kwietnia 2016 r. w sprawie ochrony osób fizycznych w związku z przetwarzaniem danych osobowych i w sprawie swobodnego przepływu takich danych oraz uchyl</w:t>
      </w:r>
      <w:r>
        <w:t>enia dyrektywy 95/46/WE (Dz. U. L 119/1 z 04 maja 2016 r.).</w:t>
      </w:r>
    </w:p>
    <w:p w:rsidR="00FA3518" w:rsidRDefault="00FA3518">
      <w:pPr>
        <w:pStyle w:val="Standard"/>
        <w:rPr>
          <w:b/>
        </w:rPr>
      </w:pPr>
    </w:p>
    <w:p w:rsidR="00FA3518" w:rsidRDefault="00C52F8A">
      <w:pPr>
        <w:pStyle w:val="Standard"/>
        <w:rPr>
          <w:b/>
        </w:rPr>
      </w:pPr>
      <w:r>
        <w:rPr>
          <w:b/>
        </w:rPr>
        <w:t>Obowiązek informacyjny</w:t>
      </w:r>
    </w:p>
    <w:p w:rsidR="00FA3518" w:rsidRDefault="00C52F8A">
      <w:pPr>
        <w:pStyle w:val="Standard"/>
        <w:jc w:val="both"/>
      </w:pPr>
      <w:r>
        <w:lastRenderedPageBreak/>
        <w:t>Politechnika Koszalińska z siedzibą w Koszalinie, ul. Śniadeckich 2, 75-453 Koszalin, jako administrator danych osobowych, informują iż:</w:t>
      </w:r>
    </w:p>
    <w:p w:rsidR="00FA3518" w:rsidRDefault="00C52F8A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t xml:space="preserve">podanie danych jest dobrowolne ale </w:t>
      </w:r>
      <w:r>
        <w:t>niezbędne w celu przeprowadzenia konkursu „Wiedzy o Europie” edycja II rok 2024 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podane dane przetwarzane będą na podstawie art. 6 ust. 1 lit. a) rozporządzenia Rady UE 2016/679 z 27 kwietnia 2016 r. w sprawie ochrony osób fizycznych w związku z przetwarz</w:t>
      </w:r>
      <w:r>
        <w:t>aniem danych osobowych i w sprawie swobodnego przepływu takich danych oraz uchylenia dyrektywy 95/46/WE (Dz. U. L 119/1 z 04 maja 2016 r.);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zakres przetwarzanych danych określony jest w regulaminie konkursu i niezbędny do jego przeprowadzenia oraz ogłoszen</w:t>
      </w:r>
      <w:r>
        <w:t>ia laureatów i dostarczenia nagród</w:t>
      </w:r>
      <w:r>
        <w:rPr>
          <w:rFonts w:cs="Calibri"/>
        </w:rPr>
        <w:t>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uczestnik posiada prawo dostępu do treści swoich danych osobowych oraz prawo ich sprostowania, usunięcia, ograniczenia przetwarzania, prawo do przenoszenia danych, prawo wniesienia sprzeciwu, prawo do cofnięcia zgody w d</w:t>
      </w:r>
      <w:r>
        <w:t>owolnym momencie bez wpływu na zgodność z prawem przetwarzania, którego dokonano na podstawie zgody przed jej cofnięciem;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dane nie będą przetwarzane w sposób zautomatyzowany w tym również w formie profilowania;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dane osobowe nie będą udostępniane innym podm</w:t>
      </w:r>
      <w:r>
        <w:rPr>
          <w:rFonts w:cs="Calibri"/>
        </w:rPr>
        <w:t>iotom, za wyjątkiem podmiotów upoważnionych na podstawie przepisów prawa;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dane osobowe nie będą przekazywane do państwa trzeciego/organizacji międzynarodowej;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dane osobowe będą przechowywane </w:t>
      </w:r>
      <w:r>
        <w:rPr>
          <w:rFonts w:cs="Calibri"/>
        </w:rPr>
        <w:t>przez okres trwania konkursu a następnie usunięte;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administrator </w:t>
      </w:r>
      <w:r>
        <w:t>wyznaczył inspektora ochrony danych: iod@tu.koszalin.pl i w celu realizacji uprawnień można wysłać stosowną wiadomość;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uczestnik ma prawo wniesienia skargi do Prezesa Urzędu Ochrony Danych Osobowych gdy uzna Pani/Pan, iż przetwarzanie danych osobowych Pan</w:t>
      </w:r>
      <w:r>
        <w:t>i/Pana dotyczących narusza przepisy rozporządzenia Rady UE 2016/679 z 27 kwietnia 2016 r.</w:t>
      </w:r>
    </w:p>
    <w:p w:rsidR="00FA3518" w:rsidRDefault="00FA3518">
      <w:pPr>
        <w:pStyle w:val="Standard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C52F8A">
      <w:pPr>
        <w:pStyle w:val="Standard"/>
        <w:ind w:left="708" w:hanging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 nr 1</w:t>
      </w: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Wypełnia uczestnik lub rodzic w jego imieniu</w:t>
      </w: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Koszalin, dn. …/…./2024</w:t>
      </w: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C52F8A">
      <w:pPr>
        <w:pStyle w:val="Standard"/>
        <w:ind w:left="708" w:hanging="708"/>
        <w:rPr>
          <w:sz w:val="24"/>
          <w:szCs w:val="24"/>
        </w:rPr>
      </w:pPr>
      <w:r>
        <w:rPr>
          <w:rFonts w:cs="Calibri"/>
          <w:sz w:val="24"/>
          <w:szCs w:val="24"/>
        </w:rPr>
        <w:t>Zapoznałem/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 xml:space="preserve"> się z Regulaminem Konkursu „</w:t>
      </w:r>
      <w:r>
        <w:rPr>
          <w:rFonts w:eastAsia="Times New Roman" w:cs="Calibri"/>
          <w:color w:val="222222"/>
          <w:sz w:val="24"/>
          <w:szCs w:val="24"/>
          <w:lang w:eastAsia="pl-PL"/>
        </w:rPr>
        <w:t xml:space="preserve">WIEDZY O </w:t>
      </w:r>
      <w:r>
        <w:rPr>
          <w:rFonts w:eastAsia="Times New Roman" w:cs="Calibri"/>
          <w:color w:val="222222"/>
          <w:sz w:val="24"/>
          <w:szCs w:val="24"/>
          <w:lang w:eastAsia="pl-PL"/>
        </w:rPr>
        <w:t>EUROPIE.EUROPA PRZYSZŁOŚCI</w:t>
      </w:r>
      <w:r>
        <w:rPr>
          <w:rFonts w:cs="Calibri"/>
          <w:sz w:val="24"/>
          <w:szCs w:val="24"/>
        </w:rPr>
        <w:t>”, spełniam jego warunki i zastosuję się do zawartych w nim postanowień.</w:t>
      </w: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Nazwisko:</w:t>
      </w: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Imię:</w:t>
      </w: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urodzenia:</w:t>
      </w: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PESEL:</w:t>
      </w: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zamieszkania:</w:t>
      </w: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kontaktowe:</w:t>
      </w: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Ponadpodstawowa uczestnika:</w:t>
      </w:r>
    </w:p>
    <w:p w:rsidR="00FA3518" w:rsidRDefault="00C52F8A">
      <w:pPr>
        <w:pStyle w:val="Standard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Szkoły Ponadpodstawowej </w:t>
      </w:r>
      <w:r>
        <w:rPr>
          <w:rFonts w:cs="Calibri"/>
          <w:sz w:val="24"/>
          <w:szCs w:val="24"/>
        </w:rPr>
        <w:t>uczestnika:</w:t>
      </w:r>
    </w:p>
    <w:p w:rsidR="00FA3518" w:rsidRDefault="00C52F8A">
      <w:pPr>
        <w:pStyle w:val="Standard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e-mail do potwierdzenia kwalifikacji ucznia:</w:t>
      </w: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C52F8A">
      <w:pPr>
        <w:pStyle w:val="Standard"/>
        <w:jc w:val="both"/>
      </w:pPr>
      <w:r>
        <w:rPr>
          <w:b/>
          <w:bCs/>
        </w:rPr>
        <w:t>Klauzula zgody na przetwarzanie danych osobowych</w:t>
      </w:r>
    </w:p>
    <w:p w:rsidR="00FA3518" w:rsidRDefault="00C52F8A">
      <w:pPr>
        <w:pStyle w:val="Standard"/>
        <w:jc w:val="both"/>
      </w:pPr>
      <w:r>
        <w:t>Wyrażam zgodę na przetwarzanie przez Politechnikę Koszalińską z siedzibą w Koszalinie, ul. Śniadeckich 2, 75-453 Koszalin, moich danych osob</w:t>
      </w:r>
      <w:r>
        <w:t>owych zawartych w formularzu w celu i zakresie niezbędnym do przeprowadzenia konkursu oraz ogłoszenia laureatów zgodnie z rozporządzeniem Rady UE 2016/679 z 27 kwietnia 2016 r. w sprawie ochrony osób fizycznych w związku z przetwarzaniem danych osobowych i</w:t>
      </w:r>
      <w:r>
        <w:t xml:space="preserve"> w sprawie swobodnego przepływu takich danych oraz uchylenia dyrektywy 95/46/WE (Dz. U. L 119/1 z 04 maja 2016 r.).</w:t>
      </w:r>
    </w:p>
    <w:p w:rsidR="00FA3518" w:rsidRDefault="00FA3518">
      <w:pPr>
        <w:pStyle w:val="Standard"/>
        <w:rPr>
          <w:b/>
        </w:rPr>
      </w:pPr>
    </w:p>
    <w:p w:rsidR="00FA3518" w:rsidRDefault="00FA3518">
      <w:pPr>
        <w:pStyle w:val="Standard"/>
        <w:rPr>
          <w:b/>
        </w:rPr>
      </w:pPr>
    </w:p>
    <w:p w:rsidR="00FA3518" w:rsidRDefault="00C52F8A">
      <w:pPr>
        <w:pStyle w:val="Standard"/>
        <w:rPr>
          <w:b/>
        </w:rPr>
      </w:pPr>
      <w:r>
        <w:rPr>
          <w:b/>
        </w:rPr>
        <w:lastRenderedPageBreak/>
        <w:t>Obowiązek informacyjny</w:t>
      </w:r>
    </w:p>
    <w:p w:rsidR="00FA3518" w:rsidRDefault="00C52F8A">
      <w:pPr>
        <w:pStyle w:val="Standard"/>
        <w:jc w:val="both"/>
      </w:pPr>
      <w:r>
        <w:t>Politechnika Koszalińska z siedzibą w Koszalinie, ul. Śniadeckich 2, 75-453 Koszalin, jako administrator danych oso</w:t>
      </w:r>
      <w:r>
        <w:t>bowych, informują iż: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podanie danych jest dobrowolne ale niezbędne w celu przeprowadzenia konkursu „Wiedzy o Europie” edycja II rok 2024 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podane dane przetwarzane będą na podstawie art. 6 ust. 1 lit. a) rozporządzenia Rady UE 2016/679 z 27 kwietnia 2016 r</w:t>
      </w:r>
      <w:r>
        <w:t>. w sprawie ochrony osób fizycznych w związku z przetwarzaniem danych osobowych i w sprawie swobodnego przepływu takich danych oraz uchylenia dyrektywy 95/46/WE (Dz. U. L 119/1 z 04 maja 2016 r.);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zakres przetwarzanych danych określony jest w regulaminie k</w:t>
      </w:r>
      <w:r>
        <w:t>onkursu i niezbędny do jego przeprowadzenia oraz ogłoszenia laureatów i dostarczenia nagród</w:t>
      </w:r>
      <w:r>
        <w:rPr>
          <w:rFonts w:cs="Calibri"/>
        </w:rPr>
        <w:t>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uczestnik posiada prawo dostępu do treści swoich danych osobowych oraz prawo ich sprostowania, usunięcia, ograniczenia przetwarzania, prawo do przenoszenia danych,</w:t>
      </w:r>
      <w:r>
        <w:t xml:space="preserve"> prawo wniesienia sprzeciwu, prawo do cofnięcia zgody w dowolnym momencie bez wpływu na zgodność z prawem przetwarzania, którego dokonano na podstawie zgody przed jej cofnięciem;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dane nie będą przetwarzane w sposób zautomatyzowany w tym również w formie pr</w:t>
      </w:r>
      <w:r>
        <w:t>ofilowania;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dane osobowe nie będą udostępniane innym podmiotom, za wyjątkiem podmiotów upoważnionych na podstawie przepisów prawa;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dane osobowe nie będą przekazywane do państwa trzeciego/organizacji międzynarodowej;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dane osobowe będą przechowywane </w:t>
      </w:r>
      <w:r>
        <w:rPr>
          <w:rFonts w:cs="Calibri"/>
        </w:rPr>
        <w:t>przez ok</w:t>
      </w:r>
      <w:r>
        <w:rPr>
          <w:rFonts w:cs="Calibri"/>
        </w:rPr>
        <w:t>res trwania konkursu a następnie usunięte;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administrator wyznaczył inspektora ochrony danych: iod@tu.koszalin.pl i w celu realizacji uprawnień można wysłać stosowną wiadomość;</w:t>
      </w:r>
    </w:p>
    <w:p w:rsidR="00FA3518" w:rsidRDefault="00C52F8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uczestnik ma prawo wniesienia skargi do Prezesa Urzędu Ochrony Danych Osobowych</w:t>
      </w:r>
      <w:r>
        <w:t xml:space="preserve"> gdy uzna Pani/Pan, iż przetwarzanie danych osobowych Pani/Pana dotyczących narusza przepisy rozporządzenia Rady UE 2016/679 z 27 kwietnia 2016 r.</w:t>
      </w: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C52F8A">
      <w:pPr>
        <w:pStyle w:val="Standard"/>
        <w:ind w:left="708" w:hanging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Miejscowość i data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Podpis rodzica/rodziców/ opiekuna prawnego/opiekunów prawnych</w:t>
      </w:r>
    </w:p>
    <w:p w:rsidR="00FA3518" w:rsidRDefault="00FA3518">
      <w:pPr>
        <w:pStyle w:val="Standard"/>
        <w:ind w:left="708" w:hanging="708"/>
        <w:rPr>
          <w:rFonts w:cs="Calibri"/>
          <w:sz w:val="24"/>
          <w:szCs w:val="24"/>
        </w:rPr>
      </w:pPr>
    </w:p>
    <w:p w:rsidR="00FA3518" w:rsidRDefault="00C52F8A">
      <w:pPr>
        <w:pStyle w:val="Standard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…….……………………...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.…….……………………………………………………………</w:t>
      </w:r>
    </w:p>
    <w:p w:rsidR="00FA3518" w:rsidRDefault="00FA3518">
      <w:pPr>
        <w:pStyle w:val="Standard"/>
        <w:ind w:left="708" w:hanging="708"/>
      </w:pPr>
    </w:p>
    <w:sectPr w:rsidR="00FA3518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8A" w:rsidRDefault="00C52F8A">
      <w:pPr>
        <w:spacing w:after="0" w:line="240" w:lineRule="auto"/>
      </w:pPr>
      <w:r>
        <w:separator/>
      </w:r>
    </w:p>
  </w:endnote>
  <w:endnote w:type="continuationSeparator" w:id="0">
    <w:p w:rsidR="00C52F8A" w:rsidRDefault="00C5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8A" w:rsidRDefault="00C52F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2F8A" w:rsidRDefault="00C5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DA8" w:rsidRDefault="00C52F8A">
    <w:pPr>
      <w:pStyle w:val="Nagwek"/>
      <w:jc w:val="center"/>
    </w:pPr>
    <w:r>
      <w:rPr>
        <w:noProof/>
      </w:rPr>
      <w:drawing>
        <wp:inline distT="0" distB="0" distL="0" distR="0">
          <wp:extent cx="5339880" cy="840599"/>
          <wp:effectExtent l="0" t="0" r="0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9880" cy="84059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176"/>
    <w:multiLevelType w:val="multilevel"/>
    <w:tmpl w:val="03AC562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5D5B3B"/>
    <w:multiLevelType w:val="multilevel"/>
    <w:tmpl w:val="5D888D28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001061E"/>
    <w:multiLevelType w:val="multilevel"/>
    <w:tmpl w:val="DAF0A9E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C44072"/>
    <w:multiLevelType w:val="multilevel"/>
    <w:tmpl w:val="51022C1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085587"/>
    <w:multiLevelType w:val="multilevel"/>
    <w:tmpl w:val="AB22A308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BF92DD3"/>
    <w:multiLevelType w:val="multilevel"/>
    <w:tmpl w:val="510EF832"/>
    <w:styleLink w:val="WWNum1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2C014B84"/>
    <w:multiLevelType w:val="multilevel"/>
    <w:tmpl w:val="AA142EE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2A92880"/>
    <w:multiLevelType w:val="multilevel"/>
    <w:tmpl w:val="CAB06206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3115989"/>
    <w:multiLevelType w:val="multilevel"/>
    <w:tmpl w:val="6FF205E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87E7D9A"/>
    <w:multiLevelType w:val="multilevel"/>
    <w:tmpl w:val="A7560878"/>
    <w:styleLink w:val="WWNum1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2AB30B2"/>
    <w:multiLevelType w:val="multilevel"/>
    <w:tmpl w:val="D6C842EA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536B7B5B"/>
    <w:multiLevelType w:val="multilevel"/>
    <w:tmpl w:val="3F90D13E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4E35ED0"/>
    <w:multiLevelType w:val="multilevel"/>
    <w:tmpl w:val="33826D1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1E5695B"/>
    <w:multiLevelType w:val="multilevel"/>
    <w:tmpl w:val="346A2C64"/>
    <w:styleLink w:val="WWNum1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4" w15:restartNumberingAfterBreak="0">
    <w:nsid w:val="632B45AC"/>
    <w:multiLevelType w:val="multilevel"/>
    <w:tmpl w:val="24B0F7E2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95369BE"/>
    <w:multiLevelType w:val="multilevel"/>
    <w:tmpl w:val="B336A086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FCD4B82"/>
    <w:multiLevelType w:val="multilevel"/>
    <w:tmpl w:val="0270E20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75848D1"/>
    <w:multiLevelType w:val="multilevel"/>
    <w:tmpl w:val="670CA49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7944303"/>
    <w:multiLevelType w:val="multilevel"/>
    <w:tmpl w:val="1920683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6"/>
  </w:num>
  <w:num w:numId="5">
    <w:abstractNumId w:val="2"/>
  </w:num>
  <w:num w:numId="6">
    <w:abstractNumId w:val="18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3"/>
  </w:num>
  <w:num w:numId="12">
    <w:abstractNumId w:val="6"/>
  </w:num>
  <w:num w:numId="13">
    <w:abstractNumId w:val="15"/>
  </w:num>
  <w:num w:numId="14">
    <w:abstractNumId w:val="14"/>
  </w:num>
  <w:num w:numId="15">
    <w:abstractNumId w:val="7"/>
  </w:num>
  <w:num w:numId="16">
    <w:abstractNumId w:val="17"/>
  </w:num>
  <w:num w:numId="17">
    <w:abstractNumId w:val="5"/>
  </w:num>
  <w:num w:numId="18">
    <w:abstractNumId w:val="1"/>
  </w:num>
  <w:num w:numId="19">
    <w:abstractNumId w:val="11"/>
  </w:num>
  <w:num w:numId="20">
    <w:abstractNumId w:val="4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3518"/>
    <w:rsid w:val="004927D0"/>
    <w:rsid w:val="008441F7"/>
    <w:rsid w:val="00C52F8A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4E473-8987-4F1E-B400-C8C0D37A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  <w:lang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inika.liszkowska@tu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Boudy</dc:creator>
  <cp:lastModifiedBy>Magdalena Piłaszewic</cp:lastModifiedBy>
  <cp:revision>2</cp:revision>
  <dcterms:created xsi:type="dcterms:W3CDTF">2024-05-09T07:31:00Z</dcterms:created>
  <dcterms:modified xsi:type="dcterms:W3CDTF">2024-05-09T07:31:00Z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