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26" w:rsidRPr="00C46EC3" w:rsidRDefault="00A10426" w:rsidP="00A10426">
      <w:pPr>
        <w:spacing w:before="100" w:beforeAutospacing="1" w:after="24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Koszalin University of Technology (Politechnika Koszalińska)</w:t>
      </w: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 xml:space="preserve">Śniadeckich 2 </w:t>
      </w:r>
      <w:proofErr w:type="spellStart"/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Street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75-453 Koszalin</w:t>
      </w: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e-mail: jmr@tu.koszalin.pl</w:t>
      </w:r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br/>
      </w:r>
      <w:r w:rsidR="00D22800">
        <w:rPr>
          <w:rFonts w:ascii="Calibri" w:eastAsia="Times New Roman" w:hAnsi="Calibri" w:cs="Calibri"/>
          <w:b/>
          <w:bCs/>
          <w:color w:val="0782C1"/>
          <w:sz w:val="24"/>
          <w:szCs w:val="24"/>
          <w:u w:val="single"/>
          <w:lang w:eastAsia="pl-PL"/>
        </w:rPr>
        <w:t>https://tu.koszalin.pl</w:t>
      </w:r>
    </w:p>
    <w:p w:rsidR="00A10426" w:rsidRPr="00C46EC3" w:rsidRDefault="00A10426" w:rsidP="00C46EC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Koszalin University of Technology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a public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higher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education</w:t>
      </w:r>
      <w:proofErr w:type="spellEnd"/>
      <w:r w:rsid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proofErr w:type="spellStart"/>
      <w:r w:rsidR="00C46EC3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="00C46EC3">
        <w:rPr>
          <w:rFonts w:ascii="Calibri" w:eastAsia="Times New Roman" w:hAnsi="Calibri" w:cs="Calibri"/>
          <w:sz w:val="24"/>
          <w:szCs w:val="24"/>
          <w:lang w:eastAsia="pl-PL"/>
        </w:rPr>
        <w:t>Higher</w:t>
      </w:r>
      <w:proofErr w:type="spellEnd"/>
      <w:r w:rsid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C46EC3">
        <w:rPr>
          <w:rFonts w:ascii="Calibri" w:eastAsia="Times New Roman" w:hAnsi="Calibri" w:cs="Calibri"/>
          <w:sz w:val="24"/>
          <w:szCs w:val="24"/>
          <w:lang w:eastAsia="pl-PL"/>
        </w:rPr>
        <w:t>Education</w:t>
      </w:r>
      <w:proofErr w:type="spellEnd"/>
      <w:r w:rsidR="00C46EC3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. It was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established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on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basis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Council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Ministers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Ordinance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8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June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1968 - as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Higher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School of Engineering in Koszalin.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that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time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had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two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departments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Civil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Engineering and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Mechanical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Engineering.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Master's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degree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studies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were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introduced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in 1972.</w:t>
      </w:r>
    </w:p>
    <w:p w:rsidR="00A10426" w:rsidRPr="00C46EC3" w:rsidRDefault="00A10426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carries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out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educational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activities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scientific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research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disciplines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related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primarily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directions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development of the region. As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technical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in the Middle Pomerania region, Koszalin University of Technology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develops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rapidly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Transforming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academy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into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the University of Technology was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under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Act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4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1996 on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amendment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names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some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academies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engineering (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Journal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Laws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No. 100).</w:t>
      </w:r>
    </w:p>
    <w:p w:rsidR="00A10426" w:rsidRPr="00C46EC3" w:rsidRDefault="00A10426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has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the authority to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award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DSc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degree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in 3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disciplines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. It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provides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education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to</w:t>
      </w:r>
      <w:r w:rsidRPr="00936E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3500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all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available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forms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modes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study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, and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covers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36E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24 </w:t>
      </w:r>
      <w:proofErr w:type="spellStart"/>
      <w:r w:rsidRPr="00936EB4">
        <w:rPr>
          <w:rFonts w:ascii="Calibri" w:eastAsia="Times New Roman" w:hAnsi="Calibri" w:cs="Calibri"/>
          <w:b/>
          <w:sz w:val="24"/>
          <w:szCs w:val="24"/>
          <w:lang w:eastAsia="pl-PL"/>
        </w:rPr>
        <w:t>fields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study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including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economics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, engineering,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arts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humanities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A10426" w:rsidRPr="00C46EC3" w:rsidRDefault="00A10426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Koszalin University of Technology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located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in a 100-thousand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population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city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about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10 km from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Baltic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Sea. Middle Pomerania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a region with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highly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developed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tourism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agriculture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agro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-food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processing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industry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electronics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A10426" w:rsidRPr="00C46EC3" w:rsidRDefault="00A10426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Koszalin University of Technology</w:t>
      </w:r>
      <w:r w:rsidR="00D05D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05D0E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="00D05D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05D0E">
        <w:rPr>
          <w:rFonts w:ascii="Calibri" w:eastAsia="Times New Roman" w:hAnsi="Calibri" w:cs="Calibri"/>
          <w:sz w:val="24"/>
          <w:szCs w:val="24"/>
          <w:lang w:eastAsia="pl-PL"/>
        </w:rPr>
        <w:t>located</w:t>
      </w:r>
      <w:proofErr w:type="spellEnd"/>
      <w:r w:rsidR="00D05D0E">
        <w:rPr>
          <w:rFonts w:ascii="Calibri" w:eastAsia="Times New Roman" w:hAnsi="Calibri" w:cs="Calibri"/>
          <w:sz w:val="24"/>
          <w:szCs w:val="24"/>
          <w:lang w:eastAsia="pl-PL"/>
        </w:rPr>
        <w:t xml:space="preserve"> on </w:t>
      </w:r>
      <w:bookmarkStart w:id="0" w:name="_GoBack"/>
      <w:bookmarkEnd w:id="0"/>
      <w:r w:rsidR="000C403F">
        <w:rPr>
          <w:rFonts w:ascii="Calibri" w:eastAsia="Times New Roman" w:hAnsi="Calibri" w:cs="Calibri"/>
          <w:sz w:val="24"/>
          <w:szCs w:val="24"/>
          <w:lang w:eastAsia="pl-PL"/>
        </w:rPr>
        <w:t xml:space="preserve">3 </w:t>
      </w: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campuses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in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following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streets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: Kwiatkowskiego, Racławicka and Śniadeckich.</w:t>
      </w:r>
      <w:r w:rsidR="00D05D0E">
        <w:rPr>
          <w:rFonts w:ascii="Calibri" w:eastAsia="Times New Roman" w:hAnsi="Calibri" w:cs="Calibri"/>
          <w:sz w:val="24"/>
          <w:szCs w:val="24"/>
          <w:lang w:eastAsia="pl-PL"/>
        </w:rPr>
        <w:t xml:space="preserve"> 4</w:t>
      </w: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dormitories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with modern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equipment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creating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academic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area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located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in Rejtana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Street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Commuting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each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campus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takes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few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minutes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.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convenient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public transport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facilitates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easy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commuting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between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the campus and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academic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area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A10426" w:rsidRPr="00C46EC3" w:rsidRDefault="00A10426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extraordinary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advantage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Koszalin's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location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- on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route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from Szczecin to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Gdansk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close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proximity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Baltic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coast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. From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city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center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seaside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resort - Mielno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about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14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kilometers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away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Apart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from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tourist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season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takes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half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an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hour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travel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seaside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resorts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Kołobrzeg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or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Darłowo.</w:t>
      </w:r>
    </w:p>
    <w:p w:rsidR="00A10426" w:rsidRPr="00C46EC3" w:rsidRDefault="00A10426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At the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there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many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active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student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circles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organizations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every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year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the student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government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organizes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yearly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student carnival - "juwenalia",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very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popular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among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young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A10426" w:rsidRPr="00C46EC3" w:rsidRDefault="00A10426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Koszalin University of Technology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provides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well-equipped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classrooms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and laboratories. It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also</w:t>
      </w:r>
      <w:proofErr w:type="spellEnd"/>
      <w:r w:rsidR="009E71C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9E71C6">
        <w:rPr>
          <w:rFonts w:ascii="Calibri" w:eastAsia="Times New Roman" w:hAnsi="Calibri" w:cs="Calibri"/>
          <w:sz w:val="24"/>
          <w:szCs w:val="24"/>
          <w:lang w:eastAsia="pl-PL"/>
        </w:rPr>
        <w:t>provides</w:t>
      </w:r>
      <w:proofErr w:type="spellEnd"/>
      <w:r w:rsidR="009E71C6">
        <w:rPr>
          <w:rFonts w:ascii="Calibri" w:eastAsia="Times New Roman" w:hAnsi="Calibri" w:cs="Calibri"/>
          <w:sz w:val="24"/>
          <w:szCs w:val="24"/>
          <w:lang w:eastAsia="pl-PL"/>
        </w:rPr>
        <w:t xml:space="preserve"> e-learning platform -</w:t>
      </w: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where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interested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people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can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find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materials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which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useful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everyday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learning.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can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take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05D0E">
        <w:rPr>
          <w:rFonts w:ascii="Calibri" w:eastAsia="Times New Roman" w:hAnsi="Calibri" w:cs="Calibri"/>
          <w:sz w:val="24"/>
          <w:szCs w:val="24"/>
          <w:lang w:eastAsia="pl-PL"/>
        </w:rPr>
        <w:t>3-month</w:t>
      </w: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paid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internships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companies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whose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business profile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closely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related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with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fields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study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A10426" w:rsidRPr="00C46EC3" w:rsidRDefault="00A10426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Koszalin University of Technology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consists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of:</w:t>
      </w:r>
    </w:p>
    <w:p w:rsidR="00A10426" w:rsidRPr="00C46EC3" w:rsidRDefault="00D05D0E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5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 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Civil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Engineering,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Environmental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and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Geodetic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Science</w:t>
        </w:r>
      </w:hyperlink>
    </w:p>
    <w:p w:rsidR="00A10426" w:rsidRPr="00C46EC3" w:rsidRDefault="00D05D0E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6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 Electronics and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Computer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S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c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ience</w:t>
        </w:r>
      </w:hyperlink>
    </w:p>
    <w:p w:rsidR="00A10426" w:rsidRPr="00C46EC3" w:rsidRDefault="00D05D0E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7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Mechanical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Engi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n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eering</w:t>
        </w:r>
      </w:hyperlink>
    </w:p>
    <w:p w:rsidR="00A10426" w:rsidRPr="00C46EC3" w:rsidRDefault="00D05D0E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8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Economic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Scien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c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es</w:t>
        </w:r>
        <w:proofErr w:type="spellEnd"/>
      </w:hyperlink>
    </w:p>
    <w:p w:rsidR="00A10426" w:rsidRPr="00C46EC3" w:rsidRDefault="00D05D0E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9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Archtecture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and Des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i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gn</w:t>
        </w:r>
      </w:hyperlink>
    </w:p>
    <w:p w:rsidR="00A10426" w:rsidRPr="00C46EC3" w:rsidRDefault="00D05D0E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0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 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Hum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a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nities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  </w:t>
        </w:r>
      </w:hyperlink>
    </w:p>
    <w:p w:rsidR="00A10426" w:rsidRPr="00C46EC3" w:rsidRDefault="00D05D0E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1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Woodwornikng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T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echnology in Szczecinek</w:t>
        </w:r>
      </w:hyperlink>
    </w:p>
    <w:p w:rsidR="00A10426" w:rsidRPr="00C46EC3" w:rsidRDefault="00A10426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10426" w:rsidRPr="00C46EC3" w:rsidRDefault="00841047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The U</w:t>
      </w:r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niversity </w:t>
      </w:r>
      <w:proofErr w:type="spellStart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>also</w:t>
      </w:r>
      <w:proofErr w:type="spellEnd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>offers</w:t>
      </w:r>
      <w:proofErr w:type="spellEnd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>interfaculty</w:t>
      </w:r>
      <w:proofErr w:type="spellEnd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>centers</w:t>
      </w:r>
      <w:proofErr w:type="spellEnd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A10426" w:rsidRPr="00C46EC3" w:rsidRDefault="00A10426" w:rsidP="00A104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The University </w:t>
      </w:r>
      <w:hyperlink r:id="rId12" w:history="1">
        <w:r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Centre for </w:t>
        </w:r>
        <w:proofErr w:type="spellStart"/>
        <w:r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Distance</w:t>
        </w:r>
        <w:proofErr w:type="spellEnd"/>
        <w:r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Educa</w:t>
        </w:r>
        <w:r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t</w:t>
        </w:r>
        <w:r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ion</w:t>
        </w:r>
        <w:proofErr w:type="spellEnd"/>
      </w:hyperlink>
    </w:p>
    <w:p w:rsidR="00C52C62" w:rsidRPr="00C52C62" w:rsidRDefault="00D05D0E" w:rsidP="00C52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3" w:history="1"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University Centre for I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n</w:t>
        </w:r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formation Technology</w:t>
        </w:r>
      </w:hyperlink>
      <w:r w:rsidR="00C52C62">
        <w:rPr>
          <w:rFonts w:ascii="Calibri" w:eastAsia="Times New Roman" w:hAnsi="Calibri" w:cs="Calibri"/>
          <w:color w:val="0782C1"/>
          <w:sz w:val="24"/>
          <w:szCs w:val="24"/>
          <w:lang w:eastAsia="pl-PL"/>
        </w:rPr>
        <w:t xml:space="preserve"> </w:t>
      </w:r>
    </w:p>
    <w:p w:rsidR="00CC2939" w:rsidRDefault="00C52C62">
      <w:pPr>
        <w:rPr>
          <w:rFonts w:ascii="Calibri" w:hAnsi="Calibri" w:cs="Calibri"/>
          <w:sz w:val="24"/>
          <w:szCs w:val="24"/>
        </w:rPr>
      </w:pPr>
      <w:hyperlink r:id="rId14" w:history="1">
        <w:r w:rsidRPr="00AC67B6">
          <w:rPr>
            <w:rStyle w:val="Hipercze"/>
            <w:rFonts w:ascii="Calibri" w:hAnsi="Calibri" w:cs="Calibri"/>
            <w:sz w:val="24"/>
            <w:szCs w:val="24"/>
          </w:rPr>
          <w:t>https://ucti.tu.kos</w:t>
        </w:r>
        <w:r w:rsidRPr="00AC67B6">
          <w:rPr>
            <w:rStyle w:val="Hipercze"/>
            <w:rFonts w:ascii="Calibri" w:hAnsi="Calibri" w:cs="Calibri"/>
            <w:sz w:val="24"/>
            <w:szCs w:val="24"/>
          </w:rPr>
          <w:t>z</w:t>
        </w:r>
        <w:r w:rsidRPr="00AC67B6">
          <w:rPr>
            <w:rStyle w:val="Hipercze"/>
            <w:rFonts w:ascii="Calibri" w:hAnsi="Calibri" w:cs="Calibri"/>
            <w:sz w:val="24"/>
            <w:szCs w:val="24"/>
          </w:rPr>
          <w:t>alin.pl/</w:t>
        </w:r>
      </w:hyperlink>
    </w:p>
    <w:p w:rsidR="00C52C62" w:rsidRPr="00C46EC3" w:rsidRDefault="00C52C62">
      <w:pPr>
        <w:rPr>
          <w:rFonts w:ascii="Calibri" w:hAnsi="Calibri" w:cs="Calibri"/>
          <w:sz w:val="24"/>
          <w:szCs w:val="24"/>
        </w:rPr>
      </w:pPr>
    </w:p>
    <w:sectPr w:rsidR="00C52C62" w:rsidRPr="00C4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433D8"/>
    <w:multiLevelType w:val="multilevel"/>
    <w:tmpl w:val="5E10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9314C"/>
    <w:multiLevelType w:val="multilevel"/>
    <w:tmpl w:val="FC86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68"/>
    <w:rsid w:val="000C403F"/>
    <w:rsid w:val="004D1868"/>
    <w:rsid w:val="0051554C"/>
    <w:rsid w:val="0053506E"/>
    <w:rsid w:val="00841047"/>
    <w:rsid w:val="00936EB4"/>
    <w:rsid w:val="009E71C6"/>
    <w:rsid w:val="00A10426"/>
    <w:rsid w:val="00A87923"/>
    <w:rsid w:val="00C46EC3"/>
    <w:rsid w:val="00C52C62"/>
    <w:rsid w:val="00CC2939"/>
    <w:rsid w:val="00D05D0E"/>
    <w:rsid w:val="00D2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5017"/>
  <w15:chartTrackingRefBased/>
  <w15:docId w15:val="{B7B1C005-61CA-4187-89BA-AD085DD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42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104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52C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ne.tu.koszalin.pl/" TargetMode="External"/><Relationship Id="rId13" Type="http://schemas.openxmlformats.org/officeDocument/2006/relationships/hyperlink" Target="https://www.tu.koszalin.pl/kat/2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m.politechnika.koszalin.pl/" TargetMode="External"/><Relationship Id="rId12" Type="http://schemas.openxmlformats.org/officeDocument/2006/relationships/hyperlink" Target="http://www.studianet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eii.tu.koszalin.pl/" TargetMode="External"/><Relationship Id="rId11" Type="http://schemas.openxmlformats.org/officeDocument/2006/relationships/hyperlink" Target="http://wpd.tu.koszalin.pl/" TargetMode="External"/><Relationship Id="rId5" Type="http://schemas.openxmlformats.org/officeDocument/2006/relationships/hyperlink" Target="http://wilsigcms.wilsig.tu.koszalin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.tu.koszal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zornictwo.tu.koszalin.pl/" TargetMode="External"/><Relationship Id="rId14" Type="http://schemas.openxmlformats.org/officeDocument/2006/relationships/hyperlink" Target="https://ucti.tu.kosza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12</cp:revision>
  <dcterms:created xsi:type="dcterms:W3CDTF">2021-06-24T12:31:00Z</dcterms:created>
  <dcterms:modified xsi:type="dcterms:W3CDTF">2021-06-25T10:04:00Z</dcterms:modified>
</cp:coreProperties>
</file>