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A7" w:rsidRPr="00162FA7" w:rsidRDefault="00162FA7" w:rsidP="00162FA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162FA7">
        <w:rPr>
          <w:sz w:val="28"/>
          <w:szCs w:val="28"/>
        </w:rPr>
        <w:t>Wzór spisu treści</w:t>
      </w:r>
      <w:r w:rsidR="00D46614">
        <w:rPr>
          <w:sz w:val="28"/>
          <w:szCs w:val="28"/>
        </w:rPr>
        <w:t>, Załącznik nr 3</w:t>
      </w:r>
    </w:p>
    <w:p w:rsidR="00C32860" w:rsidRDefault="00D926EC" w:rsidP="007F10ED">
      <w:pPr>
        <w:spacing w:line="360" w:lineRule="auto"/>
        <w:jc w:val="center"/>
        <w:rPr>
          <w:b/>
          <w:sz w:val="28"/>
          <w:szCs w:val="28"/>
        </w:rPr>
      </w:pPr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P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 </w:t>
      </w:r>
      <w:r w:rsidRPr="000B5132">
        <w:rPr>
          <w:b/>
          <w:sz w:val="28"/>
          <w:szCs w:val="28"/>
        </w:rPr>
        <w:t xml:space="preserve"> T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R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E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Ś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C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</w:p>
    <w:p w:rsidR="00604F83" w:rsidRPr="007F10ED" w:rsidRDefault="00604F83" w:rsidP="007F10E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046"/>
        <w:gridCol w:w="597"/>
      </w:tblGrid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OŚWIADCZENIE AUTORA PRACY </w:t>
            </w:r>
            <w:r w:rsidRPr="00B23CD1">
              <w:rPr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4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STRESZCZENIE </w:t>
            </w:r>
            <w:r w:rsidRPr="00B23CD1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  <w:tc>
          <w:tcPr>
            <w:tcW w:w="597" w:type="dxa"/>
          </w:tcPr>
          <w:p w:rsidR="00812D65" w:rsidRPr="00B23CD1" w:rsidRDefault="0081001C" w:rsidP="00812D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5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pStyle w:val="Tekstpodstawowy"/>
              <w:spacing w:line="360" w:lineRule="auto"/>
              <w:jc w:val="left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WSTĘP</w:t>
            </w:r>
            <w:r w:rsidRPr="00B23CD1">
              <w:rPr>
                <w:sz w:val="26"/>
                <w:szCs w:val="26"/>
              </w:rPr>
              <w:t xml:space="preserve"> </w:t>
            </w:r>
            <w:r w:rsidRPr="0081001C">
              <w:t>……………………………………………………………</w:t>
            </w:r>
            <w:r>
              <w:t>……………………………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6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GRY POLITYCZNE JAKO ISTOTNY ELEMENT PROCESU DECYZYJNEGO</w:t>
            </w:r>
          </w:p>
        </w:tc>
        <w:tc>
          <w:tcPr>
            <w:tcW w:w="597" w:type="dxa"/>
          </w:tcPr>
          <w:p w:rsidR="008C05FC" w:rsidRPr="00B23CD1" w:rsidRDefault="002F79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1.1.</w:t>
            </w:r>
            <w:r w:rsidRPr="00B23CD1">
              <w:rPr>
                <w:sz w:val="26"/>
                <w:szCs w:val="26"/>
              </w:rPr>
              <w:t xml:space="preserve"> Założenia procesu decyzyjnego w systemie politycznym </w:t>
            </w:r>
            <w:r>
              <w:t>…………………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1.2.</w:t>
            </w:r>
            <w:r w:rsidRPr="00B23CD1">
              <w:rPr>
                <w:sz w:val="26"/>
                <w:szCs w:val="26"/>
              </w:rPr>
              <w:t xml:space="preserve"> Gry polityczne w teorii i praktyce politycznej </w:t>
            </w:r>
            <w:r>
              <w:t>………………………………..</w:t>
            </w:r>
          </w:p>
        </w:tc>
        <w:tc>
          <w:tcPr>
            <w:tcW w:w="597" w:type="dxa"/>
          </w:tcPr>
          <w:p w:rsidR="008C05FC" w:rsidRPr="00B23CD1" w:rsidRDefault="008C05F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</w:t>
            </w:r>
            <w:r w:rsidR="005A3C9C">
              <w:rPr>
                <w:b/>
                <w:sz w:val="26"/>
                <w:szCs w:val="26"/>
              </w:rPr>
              <w:t>4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1.3. </w:t>
            </w:r>
            <w:r w:rsidRPr="00B23CD1">
              <w:rPr>
                <w:sz w:val="26"/>
                <w:szCs w:val="26"/>
              </w:rPr>
              <w:t xml:space="preserve">Proste gry głosowania oraz gry głosowania ważonego </w:t>
            </w:r>
            <w:r>
              <w:t>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PROCES PODEJMOWANIA DECYZJI WE WSPÓLNOTACH EUROPEJSKICH DO TRAKTATU AMSTERDAMSKIEGO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2.1.</w:t>
            </w:r>
            <w:r w:rsidRPr="00B23CD1">
              <w:rPr>
                <w:sz w:val="26"/>
                <w:szCs w:val="26"/>
              </w:rPr>
              <w:t xml:space="preserve"> Wspólnoty europejskie do kryzysu luksemburskiego </w:t>
            </w:r>
            <w:r>
              <w:t>……………………….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2.2.</w:t>
            </w:r>
            <w:r w:rsidRPr="00B23CD1">
              <w:rPr>
                <w:sz w:val="26"/>
                <w:szCs w:val="26"/>
              </w:rPr>
              <w:t xml:space="preserve"> Procesy decyzyjne w Radzie do przyjęcia Traktatu Nicejskiego </w:t>
            </w:r>
            <w:r>
              <w:t>………..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2.3. </w:t>
            </w:r>
            <w:r w:rsidRPr="00B23CD1">
              <w:rPr>
                <w:sz w:val="26"/>
                <w:szCs w:val="26"/>
              </w:rPr>
              <w:t xml:space="preserve">Doświadczenia z praktyki podejmowania decyzji we Wspólnotach </w:t>
            </w:r>
            <w:r>
              <w:t>…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III</w:t>
            </w:r>
          </w:p>
        </w:tc>
        <w:tc>
          <w:tcPr>
            <w:tcW w:w="597" w:type="dxa"/>
          </w:tcPr>
          <w:p w:rsidR="005C786D" w:rsidRPr="00B23CD1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POZYCJA PAŃSTW W PROCESIE PODEJMOWANIA DECYZJI W UNII EUROPEJSKIEJ NA POCZĄTKU XXI WIEKU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3.1.</w:t>
            </w:r>
            <w:r w:rsidRPr="00B23CD1">
              <w:rPr>
                <w:sz w:val="26"/>
                <w:szCs w:val="26"/>
              </w:rPr>
              <w:t xml:space="preserve"> Nicejski system głosowania </w:t>
            </w:r>
            <w:r w:rsidRPr="00BA5DB5">
              <w:t>…</w:t>
            </w:r>
            <w:r>
              <w:t>………………………………………………………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3.2.</w:t>
            </w:r>
            <w:r w:rsidRPr="00B23CD1">
              <w:rPr>
                <w:sz w:val="26"/>
                <w:szCs w:val="26"/>
              </w:rPr>
              <w:t xml:space="preserve"> System głosowania w Radzie zaproponowany 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w Traktacie ustanawiającym Konstytucję dla Europy </w:t>
            </w:r>
            <w:r>
              <w:t>…………………………….</w:t>
            </w:r>
          </w:p>
        </w:tc>
        <w:tc>
          <w:tcPr>
            <w:tcW w:w="597" w:type="dxa"/>
          </w:tcPr>
          <w:p w:rsidR="00BA5DB5" w:rsidRDefault="00BA5D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5C786D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3.3.</w:t>
            </w:r>
            <w:r w:rsidRPr="00B23CD1">
              <w:rPr>
                <w:sz w:val="26"/>
                <w:szCs w:val="26"/>
              </w:rPr>
              <w:t xml:space="preserve"> Porównanie nicejskiego systemu głosowania w Radzie </w:t>
            </w:r>
          </w:p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i systemu podwójnej większości  </w:t>
            </w:r>
            <w:r>
              <w:t>………………………………………………………..</w:t>
            </w:r>
          </w:p>
        </w:tc>
        <w:tc>
          <w:tcPr>
            <w:tcW w:w="597" w:type="dxa"/>
          </w:tcPr>
          <w:p w:rsidR="005C786D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ZAKOŃCZENIE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BIBLIOGRAFIA</w:t>
            </w:r>
            <w:r w:rsidRPr="00B23CD1">
              <w:rPr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WYKAZ SKRÓTÓW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SPIS MAP, TABEL I WYKRESÓW  </w:t>
            </w:r>
            <w:r w:rsidRPr="00B23CD1">
              <w:rPr>
                <w:sz w:val="26"/>
                <w:szCs w:val="26"/>
              </w:rPr>
              <w:t>…………………………………..</w:t>
            </w:r>
          </w:p>
        </w:tc>
        <w:tc>
          <w:tcPr>
            <w:tcW w:w="597" w:type="dxa"/>
          </w:tcPr>
          <w:p w:rsidR="00BA5DB5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lastRenderedPageBreak/>
              <w:t>WYKAZ ANEKSÓW</w:t>
            </w:r>
            <w:r w:rsidRPr="00B23CD1">
              <w:rPr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</w:tr>
    </w:tbl>
    <w:p w:rsidR="00AD4744" w:rsidRPr="00AD4744" w:rsidRDefault="00AD4744" w:rsidP="00AE1C9D">
      <w:pPr>
        <w:pStyle w:val="Tekstpodstawowy"/>
        <w:spacing w:line="360" w:lineRule="auto"/>
        <w:rPr>
          <w:sz w:val="26"/>
          <w:szCs w:val="26"/>
        </w:rPr>
      </w:pPr>
    </w:p>
    <w:sectPr w:rsidR="00AD4744" w:rsidRPr="00AD4744" w:rsidSect="00427DD9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C9" w:rsidRDefault="006D25C9">
      <w:r>
        <w:separator/>
      </w:r>
    </w:p>
  </w:endnote>
  <w:endnote w:type="continuationSeparator" w:id="0">
    <w:p w:rsidR="006D25C9" w:rsidRDefault="006D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3F" w:rsidRPr="00D16C3F" w:rsidRDefault="00D16C3F">
    <w:pPr>
      <w:pStyle w:val="Stopka"/>
      <w:jc w:val="center"/>
      <w:rPr>
        <w:sz w:val="22"/>
        <w:szCs w:val="22"/>
      </w:rPr>
    </w:pPr>
    <w:r w:rsidRPr="00D16C3F">
      <w:rPr>
        <w:sz w:val="22"/>
        <w:szCs w:val="22"/>
      </w:rPr>
      <w:t xml:space="preserve">~ </w:t>
    </w:r>
    <w:r w:rsidR="00D56A2F" w:rsidRPr="00D16C3F">
      <w:rPr>
        <w:sz w:val="22"/>
        <w:szCs w:val="22"/>
      </w:rPr>
      <w:fldChar w:fldCharType="begin"/>
    </w:r>
    <w:r w:rsidRPr="00D16C3F">
      <w:rPr>
        <w:sz w:val="22"/>
        <w:szCs w:val="22"/>
      </w:rPr>
      <w:instrText>PAGE    \* MERGEFORMAT</w:instrText>
    </w:r>
    <w:r w:rsidR="00D56A2F" w:rsidRPr="00D16C3F">
      <w:rPr>
        <w:sz w:val="22"/>
        <w:szCs w:val="22"/>
      </w:rPr>
      <w:fldChar w:fldCharType="separate"/>
    </w:r>
    <w:r w:rsidR="00D46614">
      <w:rPr>
        <w:noProof/>
        <w:sz w:val="22"/>
        <w:szCs w:val="22"/>
      </w:rPr>
      <w:t>1</w:t>
    </w:r>
    <w:r w:rsidR="00D56A2F" w:rsidRPr="00D16C3F">
      <w:rPr>
        <w:sz w:val="22"/>
        <w:szCs w:val="22"/>
      </w:rPr>
      <w:fldChar w:fldCharType="end"/>
    </w:r>
    <w:r w:rsidRPr="00D16C3F">
      <w:rPr>
        <w:sz w:val="22"/>
        <w:szCs w:val="22"/>
      </w:rPr>
      <w:t xml:space="preserve"> ~</w:t>
    </w:r>
  </w:p>
  <w:p w:rsidR="00D16C3F" w:rsidRDefault="00D16C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C9" w:rsidRDefault="006D25C9">
      <w:r>
        <w:separator/>
      </w:r>
    </w:p>
  </w:footnote>
  <w:footnote w:type="continuationSeparator" w:id="0">
    <w:p w:rsidR="006D25C9" w:rsidRDefault="006D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0A7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24774"/>
    <w:multiLevelType w:val="multilevel"/>
    <w:tmpl w:val="520AD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7F218C"/>
    <w:multiLevelType w:val="multilevel"/>
    <w:tmpl w:val="AB9E4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5C2ECE"/>
    <w:multiLevelType w:val="multilevel"/>
    <w:tmpl w:val="1EEA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474A37"/>
    <w:multiLevelType w:val="multilevel"/>
    <w:tmpl w:val="ECD6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60"/>
    <w:rsid w:val="00014322"/>
    <w:rsid w:val="00021C41"/>
    <w:rsid w:val="00032538"/>
    <w:rsid w:val="00093F8D"/>
    <w:rsid w:val="000B5132"/>
    <w:rsid w:val="000B5FBC"/>
    <w:rsid w:val="0012491E"/>
    <w:rsid w:val="00162FA7"/>
    <w:rsid w:val="00193C1F"/>
    <w:rsid w:val="00197AAD"/>
    <w:rsid w:val="001C36B7"/>
    <w:rsid w:val="002B52C6"/>
    <w:rsid w:val="002F79B5"/>
    <w:rsid w:val="0033638D"/>
    <w:rsid w:val="0037524D"/>
    <w:rsid w:val="003B6525"/>
    <w:rsid w:val="003F2D64"/>
    <w:rsid w:val="003F5FE5"/>
    <w:rsid w:val="00427DD9"/>
    <w:rsid w:val="004969CB"/>
    <w:rsid w:val="004A568A"/>
    <w:rsid w:val="004B118D"/>
    <w:rsid w:val="004C3103"/>
    <w:rsid w:val="00574F2F"/>
    <w:rsid w:val="0059044A"/>
    <w:rsid w:val="005A3C9C"/>
    <w:rsid w:val="005C786D"/>
    <w:rsid w:val="00604F83"/>
    <w:rsid w:val="0064061D"/>
    <w:rsid w:val="006D25C9"/>
    <w:rsid w:val="00781900"/>
    <w:rsid w:val="0079505F"/>
    <w:rsid w:val="007F10ED"/>
    <w:rsid w:val="0081001C"/>
    <w:rsid w:val="00812D65"/>
    <w:rsid w:val="00836B2E"/>
    <w:rsid w:val="00837FC3"/>
    <w:rsid w:val="0086689E"/>
    <w:rsid w:val="008867EE"/>
    <w:rsid w:val="008C05FC"/>
    <w:rsid w:val="008D513A"/>
    <w:rsid w:val="008D6C89"/>
    <w:rsid w:val="00903FB2"/>
    <w:rsid w:val="00962296"/>
    <w:rsid w:val="00983A18"/>
    <w:rsid w:val="00994ED9"/>
    <w:rsid w:val="009A2EE9"/>
    <w:rsid w:val="009D3DFB"/>
    <w:rsid w:val="00A50512"/>
    <w:rsid w:val="00AD4744"/>
    <w:rsid w:val="00AE1C9D"/>
    <w:rsid w:val="00B23CD1"/>
    <w:rsid w:val="00BA5DB5"/>
    <w:rsid w:val="00BC2A3F"/>
    <w:rsid w:val="00BE359F"/>
    <w:rsid w:val="00C32860"/>
    <w:rsid w:val="00D16C3F"/>
    <w:rsid w:val="00D46614"/>
    <w:rsid w:val="00D56A2F"/>
    <w:rsid w:val="00D630DA"/>
    <w:rsid w:val="00D74CB9"/>
    <w:rsid w:val="00D86C11"/>
    <w:rsid w:val="00D926EC"/>
    <w:rsid w:val="00DA2C7E"/>
    <w:rsid w:val="00DD1AB1"/>
    <w:rsid w:val="00DD4566"/>
    <w:rsid w:val="00E11C9D"/>
    <w:rsid w:val="00E309A9"/>
    <w:rsid w:val="00E50757"/>
    <w:rsid w:val="00E7255F"/>
    <w:rsid w:val="00E94D8E"/>
    <w:rsid w:val="00ED3638"/>
    <w:rsid w:val="00EE348B"/>
    <w:rsid w:val="00EE7C33"/>
    <w:rsid w:val="00EF6A8E"/>
    <w:rsid w:val="00F0567D"/>
    <w:rsid w:val="00F150E4"/>
    <w:rsid w:val="00F15C1D"/>
    <w:rsid w:val="00FD7F17"/>
    <w:rsid w:val="00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860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EE7C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C3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F0567D"/>
    <w:pPr>
      <w:numPr>
        <w:numId w:val="5"/>
      </w:numPr>
      <w:contextualSpacing/>
    </w:pPr>
  </w:style>
  <w:style w:type="character" w:customStyle="1" w:styleId="StopkaZnak">
    <w:name w:val="Stopka Znak"/>
    <w:link w:val="Stopka"/>
    <w:uiPriority w:val="99"/>
    <w:rsid w:val="00D16C3F"/>
    <w:rPr>
      <w:sz w:val="24"/>
      <w:szCs w:val="24"/>
    </w:rPr>
  </w:style>
  <w:style w:type="table" w:styleId="Tabela-Siatka">
    <w:name w:val="Table Grid"/>
    <w:basedOn w:val="Standardowy"/>
    <w:rsid w:val="0081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860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EE7C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C3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F0567D"/>
    <w:pPr>
      <w:numPr>
        <w:numId w:val="5"/>
      </w:numPr>
      <w:contextualSpacing/>
    </w:pPr>
  </w:style>
  <w:style w:type="character" w:customStyle="1" w:styleId="StopkaZnak">
    <w:name w:val="Stopka Znak"/>
    <w:link w:val="Stopka"/>
    <w:uiPriority w:val="99"/>
    <w:rsid w:val="00D16C3F"/>
    <w:rPr>
      <w:sz w:val="24"/>
      <w:szCs w:val="24"/>
    </w:rPr>
  </w:style>
  <w:style w:type="table" w:styleId="Tabela-Siatka">
    <w:name w:val="Table Grid"/>
    <w:basedOn w:val="Standardowy"/>
    <w:rsid w:val="0081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Ekonomii i Zarzadzania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Koszalinska</dc:creator>
  <cp:lastModifiedBy>Małgorzata Bielecka</cp:lastModifiedBy>
  <cp:revision>7</cp:revision>
  <dcterms:created xsi:type="dcterms:W3CDTF">2022-03-27T10:32:00Z</dcterms:created>
  <dcterms:modified xsi:type="dcterms:W3CDTF">2024-01-30T00:14:00Z</dcterms:modified>
</cp:coreProperties>
</file>