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88"/>
        <w:gridCol w:w="5474"/>
      </w:tblGrid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B7173E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>
              <w:rPr>
                <w:rFonts w:ascii="Calibri" w:hAnsi="Calibri" w:cs="Calibri"/>
                <w:lang w:val="en-US"/>
              </w:rPr>
              <w:t xml:space="preserve">y </w:t>
            </w:r>
            <w:r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Pr="004E2684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</w:rPr>
            </w:pPr>
            <w:r w:rsidRPr="004E2684">
              <w:rPr>
                <w:rFonts w:ascii="Calibri" w:hAnsi="Calibri" w:cs="Calibri"/>
              </w:rPr>
              <w:t>Agnieszka Szparaga, PhD, DSc, Eng</w:t>
            </w:r>
          </w:p>
        </w:tc>
      </w:tr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4E268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I</w:t>
            </w:r>
            <w:r w:rsidRPr="004E2684">
              <w:rPr>
                <w:rFonts w:ascii="Calibri" w:hAnsi="Calibri" w:cs="Calibri"/>
                <w:lang w:val="en-US"/>
              </w:rPr>
              <w:t>norganic, organic chemistry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 Dobruchowska, PhD</w:t>
            </w:r>
          </w:p>
        </w:tc>
      </w:tr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E27FDA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0811&gt;2000-ChNiO2-lab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 w:rsidP="004E268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</w:t>
            </w:r>
            <w:r w:rsidR="004E2684">
              <w:rPr>
                <w:rFonts w:ascii="Calibri" w:hAnsi="Calibri" w:cs="Calibri"/>
                <w:lang w:val="en-US"/>
              </w:rPr>
              <w:t>5</w:t>
            </w:r>
            <w:r>
              <w:rPr>
                <w:rFonts w:ascii="Calibri" w:hAnsi="Calibri" w:cs="Calibri"/>
                <w:lang w:val="en-US"/>
              </w:rPr>
              <w:t>/202</w:t>
            </w:r>
            <w:r w:rsidR="004E2684">
              <w:rPr>
                <w:rFonts w:ascii="Calibri" w:hAnsi="Calibri" w:cs="Calibri"/>
                <w:lang w:val="en-US"/>
              </w:rPr>
              <w:t>6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laboratory</w:t>
            </w:r>
          </w:p>
        </w:tc>
      </w:tr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E2684" w:rsidRPr="004E2684" w:rsidRDefault="004E2684" w:rsidP="004E268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lang w:val="en-US"/>
              </w:rPr>
            </w:pPr>
            <w:r w:rsidRPr="004E2684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6F6029" w:rsidRDefault="004E2684" w:rsidP="004E2684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 w:rsidRPr="004E2684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reports</w:t>
            </w:r>
          </w:p>
        </w:tc>
      </w:tr>
      <w:tr w:rsidR="006F6029" w:rsidRPr="004E2684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tbl>
            <w:tblPr>
              <w:tblW w:w="52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269"/>
            </w:tblGrid>
            <w:tr w:rsidR="009874AC" w:rsidRPr="004E2684" w:rsidTr="002844A4">
              <w:trPr>
                <w:trHeight w:val="1459"/>
              </w:trPr>
              <w:tc>
                <w:tcPr>
                  <w:tcW w:w="5269" w:type="dxa"/>
                </w:tcPr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lang w:val="en-US"/>
                    </w:rPr>
                    <w:t xml:space="preserve"> </w:t>
                  </w: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Preparation of a hydrochloric acid solution of a strictly defined titre. </w:t>
                  </w:r>
                </w:p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Conductometry: quantification of sulphate by conductometric titration. </w:t>
                  </w:r>
                </w:p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Colorimetry: determination of iron content by the colorimetric method. Preparation of calibration curves. </w:t>
                  </w:r>
                </w:p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Electrogravimetric determination of copper content. </w:t>
                  </w:r>
                </w:p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Chemical reaction kinetics: determination of urea hydrolysis reaction rate. </w:t>
                  </w:r>
                </w:p>
                <w:p w:rsidR="009874AC" w:rsidRPr="004E2684" w:rsidRDefault="009874AC">
                  <w:pPr>
                    <w:pStyle w:val="Default"/>
                    <w:rPr>
                      <w:sz w:val="22"/>
                      <w:szCs w:val="22"/>
                      <w:lang w:val="en-US"/>
                    </w:rPr>
                  </w:pPr>
                  <w:r w:rsidRPr="004E2684">
                    <w:rPr>
                      <w:sz w:val="22"/>
                      <w:szCs w:val="22"/>
                      <w:lang w:val="en-US"/>
                    </w:rPr>
                    <w:t xml:space="preserve">Clock reaction study in a system - ascorbic acid, iodides (Harcourt clock reaction). </w:t>
                  </w:r>
                </w:p>
              </w:tc>
            </w:tr>
          </w:tbl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 w:rsidP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6F6029" w:rsidRDefault="006F6029" w:rsidP="006F6029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/sporz</w:t>
      </w:r>
      <w:r>
        <w:rPr>
          <w:rFonts w:ascii="Calibri" w:hAnsi="Calibri" w:cs="Calibri"/>
        </w:rPr>
        <w:t>ądził,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4499C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455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99C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E9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4A4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12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684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29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4AC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73E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41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C19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A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60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4A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Kasia</cp:lastModifiedBy>
  <cp:revision>8</cp:revision>
  <dcterms:created xsi:type="dcterms:W3CDTF">2023-02-28T10:56:00Z</dcterms:created>
  <dcterms:modified xsi:type="dcterms:W3CDTF">2025-03-11T10:59:00Z</dcterms:modified>
</cp:coreProperties>
</file>